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82"/>
        <w:gridCol w:w="1512"/>
        <w:gridCol w:w="3024"/>
        <w:gridCol w:w="1512"/>
      </w:tblGrid>
      <w:tr w:rsidR="00BD1646" w14:paraId="7FFF0188" w14:textId="77777777" w:rsidTr="001E0AFF">
        <w:trPr>
          <w:trHeight w:val="1134"/>
        </w:trPr>
        <w:tc>
          <w:tcPr>
            <w:tcW w:w="8694" w:type="dxa"/>
            <w:gridSpan w:val="4"/>
            <w:tcBorders>
              <w:top w:val="nil"/>
              <w:left w:val="nil"/>
              <w:right w:val="nil"/>
            </w:tcBorders>
          </w:tcPr>
          <w:p w14:paraId="37958A37" w14:textId="77777777" w:rsidR="00BD1646" w:rsidRPr="00626A5A" w:rsidRDefault="00BD1646" w:rsidP="001E0AFF">
            <w:pPr>
              <w:rPr>
                <w:b/>
                <w:sz w:val="28"/>
                <w:szCs w:val="28"/>
              </w:rPr>
            </w:pPr>
            <w:r w:rsidRPr="00626A5A">
              <w:rPr>
                <w:b/>
                <w:sz w:val="28"/>
                <w:szCs w:val="28"/>
              </w:rPr>
              <w:t xml:space="preserve">EGENKONTROL AF </w:t>
            </w:r>
          </w:p>
          <w:p w14:paraId="7EE4419C" w14:textId="1C629958" w:rsidR="00BD1646" w:rsidRPr="003378E2" w:rsidRDefault="00BD1646" w:rsidP="001E0A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PASSIV BRANDSIKRING</w:t>
            </w: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15B5F184" w14:textId="77777777" w:rsidR="00BD1646" w:rsidRPr="00626A5A" w:rsidRDefault="00BD1646" w:rsidP="001E0AFF">
            <w:pPr>
              <w:rPr>
                <w:b/>
                <w:sz w:val="28"/>
                <w:szCs w:val="28"/>
              </w:rPr>
            </w:pPr>
          </w:p>
        </w:tc>
      </w:tr>
      <w:tr w:rsidR="00BD1646" w14:paraId="4B70C048" w14:textId="77777777" w:rsidTr="001E0AFF">
        <w:trPr>
          <w:trHeight w:val="397"/>
        </w:trPr>
        <w:tc>
          <w:tcPr>
            <w:tcW w:w="4158" w:type="dxa"/>
            <w:gridSpan w:val="2"/>
            <w:shd w:val="clear" w:color="auto" w:fill="BFBFBF" w:themeFill="background1" w:themeFillShade="BF"/>
            <w:vAlign w:val="center"/>
          </w:tcPr>
          <w:p w14:paraId="74EAC187" w14:textId="77777777" w:rsidR="00BD1646" w:rsidRPr="00BE01D5" w:rsidRDefault="00BD1646" w:rsidP="001E0AFF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TJEKLISTE</w:t>
            </w:r>
            <w:r>
              <w:rPr>
                <w:b/>
                <w:sz w:val="22"/>
              </w:rPr>
              <w:t>/BILAG</w:t>
            </w:r>
            <w:r w:rsidRPr="00BE01D5">
              <w:rPr>
                <w:b/>
                <w:sz w:val="22"/>
              </w:rPr>
              <w:t xml:space="preserve"> </w:t>
            </w:r>
            <w:r w:rsidRPr="00D369DC">
              <w:rPr>
                <w:b/>
                <w:sz w:val="22"/>
                <w:shd w:val="clear" w:color="auto" w:fill="BFBFBF" w:themeFill="background1" w:themeFillShade="BF"/>
              </w:rPr>
              <w:t xml:space="preserve">NR. </w:t>
            </w:r>
            <w:r w:rsidRPr="00D369DC">
              <w:rPr>
                <w:b/>
                <w:color w:val="FF0000"/>
                <w:sz w:val="22"/>
                <w:shd w:val="clear" w:color="auto" w:fill="BFBFBF" w:themeFill="background1" w:themeFillShade="BF"/>
              </w:rPr>
              <w:t>[XX]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6D0F5373" w14:textId="77777777" w:rsidR="00BD1646" w:rsidRDefault="00BD1646" w:rsidP="001E0A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ÅR: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000142EA" w14:textId="77777777" w:rsidR="00BD1646" w:rsidRDefault="00BD1646" w:rsidP="001E0AFF">
            <w:pPr>
              <w:rPr>
                <w:b/>
                <w:sz w:val="22"/>
              </w:rPr>
            </w:pPr>
          </w:p>
        </w:tc>
      </w:tr>
      <w:tr w:rsidR="00BD1646" w14:paraId="05A120F8" w14:textId="77777777" w:rsidTr="001E0AFF">
        <w:trPr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F8D699E" w14:textId="77777777" w:rsidR="00BD1646" w:rsidRPr="003873D0" w:rsidRDefault="00BD1646" w:rsidP="001E0AFF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3873D0">
              <w:rPr>
                <w:b/>
                <w:i/>
                <w:sz w:val="18"/>
                <w:szCs w:val="18"/>
              </w:rPr>
              <w:t>Frekvens</w:t>
            </w:r>
          </w:p>
        </w:tc>
        <w:tc>
          <w:tcPr>
            <w:tcW w:w="8930" w:type="dxa"/>
            <w:gridSpan w:val="4"/>
            <w:shd w:val="clear" w:color="auto" w:fill="D9D9D9" w:themeFill="background1" w:themeFillShade="D9"/>
            <w:vAlign w:val="center"/>
          </w:tcPr>
          <w:p w14:paraId="2F19A379" w14:textId="718FBD12" w:rsidR="00BD1646" w:rsidRPr="003873D0" w:rsidRDefault="00311C32" w:rsidP="00311C32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Minimum én gang å</w:t>
            </w:r>
            <w:r w:rsidR="0038595E">
              <w:rPr>
                <w:b/>
                <w:i/>
                <w:sz w:val="18"/>
                <w:szCs w:val="18"/>
              </w:rPr>
              <w:t>rligt:</w:t>
            </w:r>
          </w:p>
        </w:tc>
      </w:tr>
      <w:tr w:rsidR="00BD1646" w14:paraId="3F340954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117A6C90" w14:textId="77777777" w:rsidR="00BD1646" w:rsidRPr="003873D0" w:rsidRDefault="00BD1646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Dato: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20A39912" w14:textId="77777777" w:rsidR="00BD1646" w:rsidRPr="00C636C8" w:rsidRDefault="00BD1646" w:rsidP="001E0AFF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BD1646" w14:paraId="38881968" w14:textId="77777777" w:rsidTr="001E0AFF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14:paraId="4A56A16C" w14:textId="77777777" w:rsidR="00BD1646" w:rsidRPr="003873D0" w:rsidRDefault="00BD1646" w:rsidP="001E0AFF">
            <w:pPr>
              <w:spacing w:line="276" w:lineRule="auto"/>
              <w:rPr>
                <w:i/>
                <w:sz w:val="18"/>
                <w:szCs w:val="18"/>
              </w:rPr>
            </w:pPr>
            <w:r w:rsidRPr="003873D0">
              <w:rPr>
                <w:i/>
                <w:sz w:val="18"/>
                <w:szCs w:val="18"/>
              </w:rPr>
              <w:t>Kvittering: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787B9821" w14:textId="77777777" w:rsidR="00BD1646" w:rsidRPr="00C636C8" w:rsidRDefault="00BD1646" w:rsidP="001E0AFF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5D41FB3" w14:textId="4629E5AD" w:rsidR="001B4292" w:rsidRDefault="001B4292" w:rsidP="00E35048">
      <w:pPr>
        <w:spacing w:after="0"/>
      </w:pPr>
    </w:p>
    <w:p w14:paraId="505CFB95" w14:textId="77777777" w:rsidR="00BD1646" w:rsidRDefault="00BD1646" w:rsidP="00E35048">
      <w:pPr>
        <w:spacing w:after="0"/>
      </w:pPr>
      <w:bookmarkStart w:id="0" w:name="_GoBack"/>
      <w:bookmarkEnd w:id="0"/>
    </w:p>
    <w:tbl>
      <w:tblPr>
        <w:tblStyle w:val="Tabel-Gitter"/>
        <w:tblW w:w="102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7516"/>
        <w:gridCol w:w="1168"/>
        <w:gridCol w:w="1105"/>
      </w:tblGrid>
      <w:tr w:rsidR="00367A91" w14:paraId="54D4CD56" w14:textId="77777777" w:rsidTr="008B78A6">
        <w:trPr>
          <w:trHeight w:val="397"/>
        </w:trPr>
        <w:tc>
          <w:tcPr>
            <w:tcW w:w="7933" w:type="dxa"/>
            <w:gridSpan w:val="2"/>
            <w:shd w:val="clear" w:color="auto" w:fill="BFBFBF" w:themeFill="background1" w:themeFillShade="BF"/>
            <w:vAlign w:val="center"/>
          </w:tcPr>
          <w:p w14:paraId="19FA5B80" w14:textId="5C85BC00" w:rsidR="00367A91" w:rsidRPr="00BE01D5" w:rsidRDefault="00E209EA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ÅRLIG </w:t>
            </w:r>
            <w:r w:rsidR="00367A91" w:rsidRPr="00BE01D5">
              <w:rPr>
                <w:b/>
                <w:sz w:val="22"/>
              </w:rPr>
              <w:t>KONTROL</w:t>
            </w:r>
          </w:p>
        </w:tc>
        <w:tc>
          <w:tcPr>
            <w:tcW w:w="1168" w:type="dxa"/>
            <w:shd w:val="clear" w:color="auto" w:fill="BFBFBF" w:themeFill="background1" w:themeFillShade="BF"/>
            <w:vAlign w:val="center"/>
          </w:tcPr>
          <w:p w14:paraId="3494F399" w14:textId="77777777" w:rsidR="00367A91" w:rsidRPr="00BE01D5" w:rsidRDefault="00367A91" w:rsidP="00367A91">
            <w:pPr>
              <w:jc w:val="center"/>
              <w:rPr>
                <w:b/>
                <w:i/>
                <w:sz w:val="22"/>
              </w:rPr>
            </w:pPr>
            <w:r w:rsidRPr="00BE01D5">
              <w:rPr>
                <w:b/>
                <w:i/>
                <w:sz w:val="22"/>
              </w:rPr>
              <w:t>OK</w:t>
            </w:r>
          </w:p>
        </w:tc>
        <w:tc>
          <w:tcPr>
            <w:tcW w:w="1105" w:type="dxa"/>
            <w:shd w:val="clear" w:color="auto" w:fill="BFBFBF" w:themeFill="background1" w:themeFillShade="BF"/>
            <w:vAlign w:val="center"/>
          </w:tcPr>
          <w:p w14:paraId="515213F7" w14:textId="492C4280" w:rsidR="00367A91" w:rsidRPr="00BE01D5" w:rsidRDefault="00CF0FCB" w:rsidP="00367A9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</w:t>
            </w:r>
            <w:r w:rsidR="00B8488A">
              <w:rPr>
                <w:b/>
                <w:i/>
                <w:sz w:val="22"/>
              </w:rPr>
              <w:t>KKE</w:t>
            </w:r>
            <w:r w:rsidR="00367A91" w:rsidRPr="00BE01D5">
              <w:rPr>
                <w:b/>
                <w:i/>
                <w:sz w:val="22"/>
              </w:rPr>
              <w:t xml:space="preserve"> OK</w:t>
            </w:r>
          </w:p>
        </w:tc>
      </w:tr>
      <w:tr w:rsidR="00FA3FDB" w14:paraId="6E1C3484" w14:textId="77777777" w:rsidTr="00A95689">
        <w:trPr>
          <w:trHeight w:val="397"/>
        </w:trPr>
        <w:tc>
          <w:tcPr>
            <w:tcW w:w="417" w:type="dxa"/>
            <w:shd w:val="clear" w:color="auto" w:fill="92D050"/>
            <w:vAlign w:val="center"/>
          </w:tcPr>
          <w:p w14:paraId="02D63795" w14:textId="77777777" w:rsidR="00367A91" w:rsidRPr="00367A91" w:rsidRDefault="00367A91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7516" w:type="dxa"/>
            <w:vAlign w:val="center"/>
          </w:tcPr>
          <w:p w14:paraId="6D980EA6" w14:textId="795B7A59" w:rsidR="00E209EA" w:rsidRDefault="00E209EA" w:rsidP="00E209EA">
            <w:pPr>
              <w:spacing w:line="276" w:lineRule="auto"/>
              <w:rPr>
                <w:sz w:val="18"/>
                <w:szCs w:val="18"/>
              </w:rPr>
            </w:pPr>
            <w:r w:rsidRPr="00E209EA">
              <w:rPr>
                <w:sz w:val="18"/>
                <w:szCs w:val="18"/>
              </w:rPr>
              <w:t>Bygningens passive brandsikring skal mindst en gang årligt efterses, hvor følgende synlige og tilgængelige</w:t>
            </w:r>
            <w:r w:rsidR="008B78A6">
              <w:rPr>
                <w:sz w:val="18"/>
                <w:szCs w:val="18"/>
              </w:rPr>
              <w:t xml:space="preserve"> </w:t>
            </w:r>
            <w:r w:rsidRPr="00E209EA">
              <w:rPr>
                <w:sz w:val="18"/>
                <w:szCs w:val="18"/>
              </w:rPr>
              <w:t>forhold efterses, og eventuelle skader udbedres:</w:t>
            </w:r>
          </w:p>
          <w:p w14:paraId="356691E5" w14:textId="77777777" w:rsidR="00B8488A" w:rsidRPr="00E209EA" w:rsidRDefault="00B8488A" w:rsidP="00E209EA">
            <w:pPr>
              <w:spacing w:line="276" w:lineRule="auto"/>
              <w:rPr>
                <w:sz w:val="18"/>
                <w:szCs w:val="18"/>
              </w:rPr>
            </w:pPr>
          </w:p>
          <w:p w14:paraId="536F1DED" w14:textId="520EDE60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Brandsektions- og brandcelleadskillelser, herunder at alle adskillende konstruktioner,</w:t>
            </w:r>
            <w:r w:rsidR="008B78A6" w:rsidRPr="008B78A6">
              <w:rPr>
                <w:sz w:val="18"/>
                <w:szCs w:val="18"/>
              </w:rPr>
              <w:t xml:space="preserve"> i</w:t>
            </w:r>
            <w:r w:rsidRPr="008B78A6">
              <w:rPr>
                <w:sz w:val="18"/>
                <w:szCs w:val="18"/>
              </w:rPr>
              <w:t>nstallationer og brandtætninger er intakte.</w:t>
            </w:r>
          </w:p>
          <w:p w14:paraId="68DBF9F7" w14:textId="0DBBE9A4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Overflader på gulv, væg og loft.</w:t>
            </w:r>
          </w:p>
          <w:p w14:paraId="5A117602" w14:textId="7C18E6CB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Brandmæssig klassificerede vinduespartier.</w:t>
            </w:r>
          </w:p>
          <w:p w14:paraId="6AE91F8A" w14:textId="2360869A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Brandisolering og brandtætninger af kanal og rørføringer.</w:t>
            </w:r>
          </w:p>
          <w:p w14:paraId="0C6BD1CB" w14:textId="6BAD2AA3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Tagdækning og tagisolering.</w:t>
            </w:r>
          </w:p>
          <w:p w14:paraId="377562C0" w14:textId="77777777" w:rsidR="008B78A6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Branddøre, brandporte og flugtvejsdøre. Dørene og portenes hængsler, ophængningssystem og</w:t>
            </w:r>
            <w:r w:rsidR="008B78A6" w:rsidRPr="008B78A6">
              <w:rPr>
                <w:sz w:val="18"/>
                <w:szCs w:val="18"/>
              </w:rPr>
              <w:t xml:space="preserve"> </w:t>
            </w:r>
            <w:r w:rsidRPr="008B78A6">
              <w:rPr>
                <w:sz w:val="18"/>
                <w:szCs w:val="18"/>
              </w:rPr>
              <w:t xml:space="preserve">låsefunktion rengøres og smøres. </w:t>
            </w:r>
          </w:p>
          <w:p w14:paraId="7E0F30BF" w14:textId="61CEE915" w:rsidR="00E209EA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Branddøre og brandportes selvlukkemekanisme kontrolleres og</w:t>
            </w:r>
            <w:r w:rsidR="008B78A6" w:rsidRPr="008B78A6">
              <w:rPr>
                <w:sz w:val="18"/>
                <w:szCs w:val="18"/>
              </w:rPr>
              <w:t xml:space="preserve"> </w:t>
            </w:r>
            <w:r w:rsidRPr="008B78A6">
              <w:rPr>
                <w:sz w:val="18"/>
                <w:szCs w:val="18"/>
              </w:rPr>
              <w:t>eventuelt justeres. Kontrollen udføres ved, at døren fra henholdsvis fuld åben stilling og en 30 cm</w:t>
            </w:r>
            <w:r w:rsidR="008B78A6" w:rsidRPr="008B78A6">
              <w:rPr>
                <w:sz w:val="18"/>
                <w:szCs w:val="18"/>
              </w:rPr>
              <w:t xml:space="preserve"> </w:t>
            </w:r>
            <w:r w:rsidRPr="008B78A6">
              <w:rPr>
                <w:sz w:val="18"/>
                <w:szCs w:val="18"/>
              </w:rPr>
              <w:t>åben stilling slippes og af sig selv lukker helt i, så låseanordning går i indgreb og fastholder døren/porten.</w:t>
            </w:r>
          </w:p>
          <w:p w14:paraId="6F1F12B6" w14:textId="1B882226" w:rsidR="00367A91" w:rsidRPr="008B78A6" w:rsidRDefault="00E209EA" w:rsidP="008B78A6">
            <w:pPr>
              <w:pStyle w:val="Listeafsnit"/>
              <w:numPr>
                <w:ilvl w:val="0"/>
                <w:numId w:val="7"/>
              </w:numPr>
              <w:spacing w:line="276" w:lineRule="auto"/>
              <w:rPr>
                <w:sz w:val="18"/>
                <w:szCs w:val="18"/>
              </w:rPr>
            </w:pPr>
            <w:r w:rsidRPr="008B78A6">
              <w:rPr>
                <w:sz w:val="18"/>
                <w:szCs w:val="18"/>
              </w:rPr>
              <w:t>Redningsberedskabets brandveje og adgang</w:t>
            </w:r>
            <w:r w:rsidR="00DE0262">
              <w:rPr>
                <w:sz w:val="18"/>
                <w:szCs w:val="18"/>
              </w:rPr>
              <w:t>. Er der f.eks. skiftet nøglesystem og er nøglen i nøgleboksen tillige blevet skiftet.</w:t>
            </w:r>
          </w:p>
        </w:tc>
        <w:sdt>
          <w:sdtPr>
            <w:rPr>
              <w:sz w:val="28"/>
              <w:szCs w:val="28"/>
            </w:rPr>
            <w:id w:val="24384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14:paraId="161DCA2E" w14:textId="232A35C9" w:rsidR="00367A91" w:rsidRPr="00AF0A1A" w:rsidRDefault="008B78A6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29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vAlign w:val="center"/>
              </w:tcPr>
              <w:p w14:paraId="0FE20D12" w14:textId="0FACAE63" w:rsidR="00367A91" w:rsidRPr="00AF0A1A" w:rsidRDefault="008B78A6" w:rsidP="00367A9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B17A902" w14:textId="77777777" w:rsidR="00367A91" w:rsidRDefault="00367A91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F1C" w14:paraId="67D1C0BE" w14:textId="77777777" w:rsidTr="008B78A6">
        <w:trPr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65BB91B5" w14:textId="77777777" w:rsidR="00F00F1C" w:rsidRPr="00BE01D5" w:rsidRDefault="00F00F1C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BEMÆRKNINGER TIL KONTROL</w:t>
            </w:r>
            <w:r w:rsidR="00722433" w:rsidRPr="00BE01D5">
              <w:rPr>
                <w:b/>
                <w:sz w:val="22"/>
              </w:rPr>
              <w:t>LEN</w:t>
            </w:r>
          </w:p>
        </w:tc>
      </w:tr>
      <w:tr w:rsidR="00F00F1C" w14:paraId="3AD4EE0F" w14:textId="77777777" w:rsidTr="00A674D7">
        <w:trPr>
          <w:trHeight w:val="1418"/>
        </w:trPr>
        <w:tc>
          <w:tcPr>
            <w:tcW w:w="10206" w:type="dxa"/>
            <w:vAlign w:val="center"/>
          </w:tcPr>
          <w:p w14:paraId="74DC19C1" w14:textId="77777777" w:rsidR="00F00F1C" w:rsidRPr="00A72828" w:rsidRDefault="00F00F1C">
            <w:pPr>
              <w:rPr>
                <w:sz w:val="18"/>
                <w:szCs w:val="18"/>
              </w:rPr>
            </w:pPr>
          </w:p>
        </w:tc>
      </w:tr>
    </w:tbl>
    <w:p w14:paraId="4391C688" w14:textId="4BF52A2D" w:rsidR="00F00F1C" w:rsidRDefault="00F00F1C" w:rsidP="00E35048">
      <w:pPr>
        <w:spacing w:after="0"/>
      </w:pPr>
    </w:p>
    <w:p w14:paraId="6B2947AB" w14:textId="77777777" w:rsidR="001357BA" w:rsidRDefault="001357BA" w:rsidP="00E35048">
      <w:pPr>
        <w:spacing w:after="0"/>
      </w:pPr>
    </w:p>
    <w:tbl>
      <w:tblPr>
        <w:tblStyle w:val="Tabel-Gitter"/>
        <w:tblW w:w="102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206E27" w14:paraId="4CAF7A7F" w14:textId="77777777" w:rsidTr="008B78A6">
        <w:trPr>
          <w:trHeight w:val="397"/>
        </w:trPr>
        <w:tc>
          <w:tcPr>
            <w:tcW w:w="10343" w:type="dxa"/>
            <w:shd w:val="clear" w:color="auto" w:fill="BFBFBF" w:themeFill="background1" w:themeFillShade="BF"/>
            <w:vAlign w:val="center"/>
          </w:tcPr>
          <w:p w14:paraId="4A7A30D0" w14:textId="77777777" w:rsidR="00206E27" w:rsidRPr="00BE01D5" w:rsidRDefault="00206E27">
            <w:pPr>
              <w:rPr>
                <w:b/>
                <w:sz w:val="22"/>
              </w:rPr>
            </w:pPr>
            <w:r w:rsidRPr="00BE01D5">
              <w:rPr>
                <w:b/>
                <w:sz w:val="22"/>
              </w:rPr>
              <w:t>HVOR KAN JEG FINDE YDERLIGERE OPLYSNINGER</w:t>
            </w:r>
          </w:p>
        </w:tc>
      </w:tr>
      <w:tr w:rsidR="00206E27" w14:paraId="7AD1E64F" w14:textId="77777777" w:rsidTr="00A674D7">
        <w:trPr>
          <w:trHeight w:val="635"/>
        </w:trPr>
        <w:tc>
          <w:tcPr>
            <w:tcW w:w="10343" w:type="dxa"/>
            <w:vAlign w:val="center"/>
          </w:tcPr>
          <w:p w14:paraId="02FB394D" w14:textId="77777777" w:rsidR="00FF07E9" w:rsidRDefault="00A674D7" w:rsidP="00E21905">
            <w:pPr>
              <w:pStyle w:val="Listeafsnit"/>
              <w:numPr>
                <w:ilvl w:val="0"/>
                <w:numId w:val="2"/>
              </w:numPr>
              <w:spacing w:line="276" w:lineRule="auto"/>
            </w:pPr>
            <w:r>
              <w:rPr>
                <w:sz w:val="18"/>
                <w:szCs w:val="18"/>
              </w:rPr>
              <w:t>Bygningsreglementets vejledning til kapitel 5, kapitel 7: Drift-, kontrol- og vedligehold af brandforhold i og ved bygninger</w:t>
            </w:r>
            <w:r w:rsidR="00E21905">
              <w:rPr>
                <w:sz w:val="18"/>
                <w:szCs w:val="18"/>
              </w:rPr>
              <w:t xml:space="preserve"> (</w:t>
            </w:r>
            <w:hyperlink r:id="rId7" w:history="1">
              <w:r w:rsidR="00E21905" w:rsidRPr="00CF5C44">
                <w:rPr>
                  <w:rStyle w:val="Hyperlink"/>
                  <w:sz w:val="18"/>
                  <w:szCs w:val="18"/>
                </w:rPr>
                <w:t>https://bygningsreglementet.dk/Tekniske-bestemmelser/05/Vejledninger</w:t>
              </w:r>
            </w:hyperlink>
            <w:r w:rsidR="00E21905">
              <w:rPr>
                <w:sz w:val="18"/>
                <w:szCs w:val="18"/>
              </w:rPr>
              <w:t xml:space="preserve">) </w:t>
            </w:r>
          </w:p>
        </w:tc>
      </w:tr>
    </w:tbl>
    <w:p w14:paraId="617D4C67" w14:textId="77777777" w:rsidR="00206E27" w:rsidRDefault="00206E27"/>
    <w:sectPr w:rsidR="00206E27" w:rsidSect="00E3504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B2D4B" w14:textId="77777777" w:rsidR="00A504A4" w:rsidRDefault="00A504A4" w:rsidP="009B70AC">
      <w:pPr>
        <w:spacing w:after="0" w:line="240" w:lineRule="auto"/>
      </w:pPr>
      <w:r>
        <w:separator/>
      </w:r>
    </w:p>
  </w:endnote>
  <w:endnote w:type="continuationSeparator" w:id="0">
    <w:p w14:paraId="7D113433" w14:textId="77777777" w:rsidR="00A504A4" w:rsidRDefault="00A504A4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B793D2" w14:textId="18E05A06" w:rsidR="009B70AC" w:rsidRDefault="00311C32" w:rsidP="009B70AC">
            <w:pPr>
              <w:pStyle w:val="Sidefod"/>
            </w:pPr>
            <w:r>
              <w:rPr>
                <w:sz w:val="16"/>
                <w:szCs w:val="16"/>
              </w:rPr>
              <w:t>Version 2.0</w:t>
            </w:r>
            <w:r w:rsidR="0038595E">
              <w:rPr>
                <w:sz w:val="16"/>
                <w:szCs w:val="16"/>
              </w:rPr>
              <w:t xml:space="preserve"> af 16-06</w:t>
            </w:r>
            <w:r w:rsidR="00E0593E">
              <w:rPr>
                <w:sz w:val="16"/>
                <w:szCs w:val="16"/>
              </w:rPr>
              <w:t>-202</w:t>
            </w:r>
            <w:r w:rsidR="0038595E">
              <w:rPr>
                <w:sz w:val="16"/>
                <w:szCs w:val="16"/>
              </w:rPr>
              <w:t>2</w:t>
            </w:r>
            <w:r w:rsidR="00331506">
              <w:tab/>
            </w:r>
            <w:r w:rsidR="009B70AC"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ED3CE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CF604" w14:textId="77777777" w:rsidR="00A504A4" w:rsidRDefault="00A504A4" w:rsidP="009B70AC">
      <w:pPr>
        <w:spacing w:after="0" w:line="240" w:lineRule="auto"/>
      </w:pPr>
      <w:r>
        <w:separator/>
      </w:r>
    </w:p>
  </w:footnote>
  <w:footnote w:type="continuationSeparator" w:id="0">
    <w:p w14:paraId="06C2E412" w14:textId="77777777" w:rsidR="00A504A4" w:rsidRDefault="00A504A4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BF65" w14:textId="0B4523F9" w:rsidR="009B70AC" w:rsidRPr="0035118E" w:rsidRDefault="009B70AC">
    <w:pPr>
      <w:pStyle w:val="Sidehove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3335"/>
    <w:multiLevelType w:val="hybridMultilevel"/>
    <w:tmpl w:val="93B2A93E"/>
    <w:lvl w:ilvl="0" w:tplc="F056D2E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C2D"/>
    <w:multiLevelType w:val="hybridMultilevel"/>
    <w:tmpl w:val="3AF07D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3C9D"/>
    <w:multiLevelType w:val="hybridMultilevel"/>
    <w:tmpl w:val="14D47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E3F"/>
    <w:multiLevelType w:val="hybridMultilevel"/>
    <w:tmpl w:val="1C623180"/>
    <w:lvl w:ilvl="0" w:tplc="0E1C9FF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67813"/>
    <w:multiLevelType w:val="hybridMultilevel"/>
    <w:tmpl w:val="8B84A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Xa86OU1AoAOr9ZcwbnamSHAeC4R6Pp8il9pJ8SnKRUFDL0QTspe3XF13bOY54XIt"/>
  </w:docVars>
  <w:rsids>
    <w:rsidRoot w:val="003B024D"/>
    <w:rsid w:val="000A0F3A"/>
    <w:rsid w:val="000E267D"/>
    <w:rsid w:val="001011EF"/>
    <w:rsid w:val="00117DDB"/>
    <w:rsid w:val="00126270"/>
    <w:rsid w:val="001357BA"/>
    <w:rsid w:val="00142276"/>
    <w:rsid w:val="001B4292"/>
    <w:rsid w:val="001B6911"/>
    <w:rsid w:val="001F6228"/>
    <w:rsid w:val="00206E27"/>
    <w:rsid w:val="00240162"/>
    <w:rsid w:val="00311C32"/>
    <w:rsid w:val="00331506"/>
    <w:rsid w:val="00336C9C"/>
    <w:rsid w:val="003378E2"/>
    <w:rsid w:val="0035118E"/>
    <w:rsid w:val="00367A91"/>
    <w:rsid w:val="003776A7"/>
    <w:rsid w:val="0038595E"/>
    <w:rsid w:val="003B024D"/>
    <w:rsid w:val="003B488E"/>
    <w:rsid w:val="0041398F"/>
    <w:rsid w:val="004B3ACA"/>
    <w:rsid w:val="004F14F7"/>
    <w:rsid w:val="00527E56"/>
    <w:rsid w:val="0054735A"/>
    <w:rsid w:val="005701B7"/>
    <w:rsid w:val="00626A5A"/>
    <w:rsid w:val="006A6FBE"/>
    <w:rsid w:val="006E5B25"/>
    <w:rsid w:val="00722433"/>
    <w:rsid w:val="0075189F"/>
    <w:rsid w:val="0076093A"/>
    <w:rsid w:val="007B1320"/>
    <w:rsid w:val="007E0C61"/>
    <w:rsid w:val="00820C9C"/>
    <w:rsid w:val="008B78A6"/>
    <w:rsid w:val="008E3AE2"/>
    <w:rsid w:val="009B70AC"/>
    <w:rsid w:val="009D298D"/>
    <w:rsid w:val="00A0111A"/>
    <w:rsid w:val="00A504A4"/>
    <w:rsid w:val="00A61A1B"/>
    <w:rsid w:val="00A674D7"/>
    <w:rsid w:val="00A72828"/>
    <w:rsid w:val="00A95689"/>
    <w:rsid w:val="00AA1662"/>
    <w:rsid w:val="00AF0A1A"/>
    <w:rsid w:val="00B82A35"/>
    <w:rsid w:val="00B8488A"/>
    <w:rsid w:val="00B860E3"/>
    <w:rsid w:val="00B95C74"/>
    <w:rsid w:val="00BD1646"/>
    <w:rsid w:val="00BE01D5"/>
    <w:rsid w:val="00C65849"/>
    <w:rsid w:val="00CF0FCB"/>
    <w:rsid w:val="00D05F95"/>
    <w:rsid w:val="00D671D7"/>
    <w:rsid w:val="00DE0262"/>
    <w:rsid w:val="00DE5911"/>
    <w:rsid w:val="00E0593E"/>
    <w:rsid w:val="00E209EA"/>
    <w:rsid w:val="00E21905"/>
    <w:rsid w:val="00E35048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E2375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21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gningsreglementet.dk/Tekniske-bestemmelser/05/Vejledni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Lolland IT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og Bo</dc:creator>
  <cp:keywords/>
  <dc:description/>
  <cp:lastModifiedBy>Ruben Salqvist</cp:lastModifiedBy>
  <cp:revision>3</cp:revision>
  <cp:lastPrinted>2020-10-20T13:06:00Z</cp:lastPrinted>
  <dcterms:created xsi:type="dcterms:W3CDTF">2022-06-16T09:27:00Z</dcterms:created>
  <dcterms:modified xsi:type="dcterms:W3CDTF">2022-06-16T09:29:00Z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{6453D2A6-8C99-48FA-A815-5E60EF265C9B}</vt:lpwstr>
  </property>
</Properties>
</file>